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E95815">
        <w:rPr>
          <w:rFonts w:ascii="Arial" w:hAnsi="Arial" w:cs="Arial"/>
          <w:sz w:val="22"/>
          <w:szCs w:val="22"/>
          <w:lang w:val="en-GB"/>
        </w:rPr>
        <w:t>9</w:t>
      </w:r>
      <w:r>
        <w:rPr>
          <w:rFonts w:ascii="Arial" w:hAnsi="Arial" w:cs="Arial"/>
          <w:sz w:val="22"/>
          <w:szCs w:val="22"/>
          <w:vertAlign w:val="superscript"/>
          <w:lang w:val="en-GB"/>
        </w:rPr>
        <w:t>th</w:t>
      </w:r>
      <w:r w:rsidR="008F3310">
        <w:rPr>
          <w:rFonts w:ascii="Arial" w:hAnsi="Arial" w:cs="Arial"/>
          <w:sz w:val="22"/>
          <w:szCs w:val="22"/>
          <w:lang w:val="en-GB"/>
        </w:rPr>
        <w:t xml:space="preserve"> </w:t>
      </w:r>
      <w:r w:rsidR="00E95815">
        <w:rPr>
          <w:rFonts w:ascii="Arial" w:hAnsi="Arial" w:cs="Arial"/>
          <w:sz w:val="22"/>
          <w:szCs w:val="22"/>
          <w:lang w:val="en-GB"/>
        </w:rPr>
        <w:t>May</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E95815" w:rsidP="00ED64D8">
      <w:pPr>
        <w:pStyle w:val="Default"/>
        <w:rPr>
          <w:rFonts w:ascii="Arial" w:hAnsi="Arial" w:cs="Arial"/>
          <w:b/>
          <w:sz w:val="22"/>
          <w:szCs w:val="22"/>
          <w:lang w:val="en-GB"/>
        </w:rPr>
      </w:pPr>
      <w:r w:rsidRPr="00E95815">
        <w:rPr>
          <w:rFonts w:ascii="Arial" w:hAnsi="Arial" w:cs="Arial"/>
          <w:b/>
          <w:sz w:val="22"/>
          <w:szCs w:val="22"/>
          <w:lang w:val="en-GB"/>
        </w:rPr>
        <w:t>YOKOHAMA’s “</w:t>
      </w:r>
      <w:proofErr w:type="spellStart"/>
      <w:r w:rsidRPr="00E95815">
        <w:rPr>
          <w:rFonts w:ascii="Arial" w:hAnsi="Arial" w:cs="Arial"/>
          <w:b/>
          <w:sz w:val="22"/>
          <w:szCs w:val="22"/>
          <w:lang w:val="en-GB"/>
        </w:rPr>
        <w:t>BluEarth</w:t>
      </w:r>
      <w:proofErr w:type="spellEnd"/>
      <w:r w:rsidRPr="00E95815">
        <w:rPr>
          <w:rFonts w:ascii="Arial" w:hAnsi="Arial" w:cs="Arial"/>
          <w:b/>
          <w:sz w:val="22"/>
          <w:szCs w:val="22"/>
          <w:lang w:val="en-GB"/>
        </w:rPr>
        <w:t>-GT AE51” Coming Factory-Equipped on New MAZDA3</w:t>
      </w:r>
    </w:p>
    <w:p w:rsidR="00E95815" w:rsidRPr="00E95815" w:rsidRDefault="00E95815" w:rsidP="00ED64D8">
      <w:pPr>
        <w:pStyle w:val="Default"/>
        <w:rPr>
          <w:rFonts w:ascii="Arial" w:hAnsi="Arial" w:cs="Arial"/>
          <w:b/>
          <w:sz w:val="22"/>
          <w:szCs w:val="22"/>
          <w:lang w:val="en-GB"/>
        </w:rPr>
      </w:pPr>
    </w:p>
    <w:p w:rsidR="00444C90" w:rsidRDefault="00E95815" w:rsidP="00E95815">
      <w:pPr>
        <w:rPr>
          <w:rFonts w:ascii="Arial" w:hAnsi="Arial" w:cs="Arial"/>
          <w:sz w:val="22"/>
          <w:szCs w:val="22"/>
          <w:lang w:val="en-GB"/>
        </w:rPr>
      </w:pPr>
      <w:r>
        <w:rPr>
          <w:rFonts w:ascii="Arial" w:hAnsi="Arial" w:cs="Arial"/>
          <w:sz w:val="22"/>
          <w:szCs w:val="22"/>
          <w:lang w:val="en-GB"/>
        </w:rPr>
        <w:t>YOKOHAMA</w:t>
      </w:r>
      <w:r w:rsidRPr="00E95815">
        <w:rPr>
          <w:rFonts w:ascii="Arial" w:hAnsi="Arial" w:cs="Arial"/>
          <w:sz w:val="22"/>
          <w:szCs w:val="22"/>
          <w:lang w:val="en-GB"/>
        </w:rPr>
        <w:t xml:space="preserve"> is supplying its “</w:t>
      </w:r>
      <w:proofErr w:type="spellStart"/>
      <w:r w:rsidRPr="00E95815">
        <w:rPr>
          <w:rFonts w:ascii="Arial" w:hAnsi="Arial" w:cs="Arial"/>
          <w:sz w:val="22"/>
          <w:szCs w:val="22"/>
          <w:lang w:val="en-GB"/>
        </w:rPr>
        <w:t>BluEarth</w:t>
      </w:r>
      <w:proofErr w:type="spellEnd"/>
      <w:r w:rsidRPr="00E95815">
        <w:rPr>
          <w:rFonts w:ascii="Arial" w:hAnsi="Arial" w:cs="Arial"/>
          <w:sz w:val="22"/>
          <w:szCs w:val="22"/>
          <w:lang w:val="en-GB"/>
        </w:rPr>
        <w:t>-GT AE51” t</w:t>
      </w:r>
      <w:r>
        <w:rPr>
          <w:rFonts w:ascii="Arial" w:hAnsi="Arial" w:cs="Arial"/>
          <w:sz w:val="22"/>
          <w:szCs w:val="22"/>
          <w:lang w:val="en-GB"/>
        </w:rPr>
        <w:t>y</w:t>
      </w:r>
      <w:r w:rsidRPr="00E95815">
        <w:rPr>
          <w:rFonts w:ascii="Arial" w:hAnsi="Arial" w:cs="Arial"/>
          <w:sz w:val="22"/>
          <w:szCs w:val="22"/>
          <w:lang w:val="en-GB"/>
        </w:rPr>
        <w:t xml:space="preserve">res as original equipment (OE) for Mazda Motor Corporation’s new MAZDA3, which went on sale globally on </w:t>
      </w:r>
      <w:r>
        <w:rPr>
          <w:rFonts w:ascii="Arial" w:hAnsi="Arial" w:cs="Arial"/>
          <w:sz w:val="22"/>
          <w:szCs w:val="22"/>
          <w:lang w:val="en-GB"/>
        </w:rPr>
        <w:t>24</w:t>
      </w:r>
      <w:r w:rsidRPr="00E95815">
        <w:rPr>
          <w:rFonts w:ascii="Arial" w:hAnsi="Arial" w:cs="Arial"/>
          <w:sz w:val="22"/>
          <w:szCs w:val="22"/>
          <w:vertAlign w:val="superscript"/>
          <w:lang w:val="en-GB"/>
        </w:rPr>
        <w:t>th</w:t>
      </w:r>
      <w:r>
        <w:rPr>
          <w:rFonts w:ascii="Arial" w:hAnsi="Arial" w:cs="Arial"/>
          <w:sz w:val="22"/>
          <w:szCs w:val="22"/>
          <w:lang w:val="en-GB"/>
        </w:rPr>
        <w:t xml:space="preserve"> M</w:t>
      </w:r>
      <w:r w:rsidRPr="00E95815">
        <w:rPr>
          <w:rFonts w:ascii="Arial" w:hAnsi="Arial" w:cs="Arial"/>
          <w:sz w:val="22"/>
          <w:szCs w:val="22"/>
          <w:lang w:val="en-GB"/>
        </w:rPr>
        <w:t>ay</w:t>
      </w:r>
      <w:r>
        <w:rPr>
          <w:rFonts w:ascii="Arial" w:hAnsi="Arial" w:cs="Arial"/>
          <w:sz w:val="22"/>
          <w:szCs w:val="22"/>
          <w:lang w:val="en-GB"/>
        </w:rPr>
        <w:t xml:space="preserve"> </w:t>
      </w:r>
      <w:r w:rsidRPr="00E95815">
        <w:rPr>
          <w:rFonts w:ascii="Arial" w:hAnsi="Arial" w:cs="Arial"/>
          <w:sz w:val="22"/>
          <w:szCs w:val="22"/>
          <w:lang w:val="en-GB"/>
        </w:rPr>
        <w:t>2019. The new MAZDA3 is coming factory-equipped with 205/60R16 92V size t</w:t>
      </w:r>
      <w:r>
        <w:rPr>
          <w:rFonts w:ascii="Arial" w:hAnsi="Arial" w:cs="Arial"/>
          <w:sz w:val="22"/>
          <w:szCs w:val="22"/>
          <w:lang w:val="en-GB"/>
        </w:rPr>
        <w:t>y</w:t>
      </w:r>
      <w:r w:rsidRPr="00E95815">
        <w:rPr>
          <w:rFonts w:ascii="Arial" w:hAnsi="Arial" w:cs="Arial"/>
          <w:sz w:val="22"/>
          <w:szCs w:val="22"/>
          <w:lang w:val="en-GB"/>
        </w:rPr>
        <w:t>res. “</w:t>
      </w:r>
      <w:proofErr w:type="spellStart"/>
      <w:r w:rsidRPr="00E95815">
        <w:rPr>
          <w:rFonts w:ascii="Arial" w:hAnsi="Arial" w:cs="Arial"/>
          <w:sz w:val="22"/>
          <w:szCs w:val="22"/>
          <w:lang w:val="en-GB"/>
        </w:rPr>
        <w:t>BluEarth</w:t>
      </w:r>
      <w:proofErr w:type="spellEnd"/>
      <w:r w:rsidRPr="00E95815">
        <w:rPr>
          <w:rFonts w:ascii="Arial" w:hAnsi="Arial" w:cs="Arial"/>
          <w:sz w:val="22"/>
          <w:szCs w:val="22"/>
          <w:lang w:val="en-GB"/>
        </w:rPr>
        <w:t xml:space="preserve">-GT AE51” are being fitted on MAZDA3 vehicles sold in all markets except North America. </w:t>
      </w:r>
      <w:r w:rsidRPr="00E95815">
        <w:rPr>
          <w:rFonts w:ascii="Arial" w:hAnsi="Arial" w:cs="Arial"/>
          <w:sz w:val="22"/>
          <w:szCs w:val="22"/>
          <w:lang w:val="en-GB"/>
        </w:rPr>
        <w:br/>
      </w:r>
      <w:r w:rsidRPr="00E95815">
        <w:rPr>
          <w:rFonts w:ascii="Arial" w:hAnsi="Arial" w:cs="Arial"/>
          <w:sz w:val="22"/>
          <w:szCs w:val="22"/>
          <w:lang w:val="en-GB"/>
        </w:rPr>
        <w:br/>
        <w:t>The “</w:t>
      </w:r>
      <w:proofErr w:type="spellStart"/>
      <w:r w:rsidRPr="00E95815">
        <w:rPr>
          <w:rFonts w:ascii="Arial" w:hAnsi="Arial" w:cs="Arial"/>
          <w:sz w:val="22"/>
          <w:szCs w:val="22"/>
          <w:lang w:val="en-GB"/>
        </w:rPr>
        <w:t>BluEarth</w:t>
      </w:r>
      <w:proofErr w:type="spellEnd"/>
      <w:r w:rsidRPr="00E95815">
        <w:rPr>
          <w:rFonts w:ascii="Arial" w:hAnsi="Arial" w:cs="Arial"/>
          <w:sz w:val="22"/>
          <w:szCs w:val="22"/>
          <w:lang w:val="en-GB"/>
        </w:rPr>
        <w:t xml:space="preserve">-GT AE51” incorporates the basic design and materials technology used in YOKOHAMA’s “environmentally, human, and socially friendly” </w:t>
      </w:r>
      <w:proofErr w:type="spellStart"/>
      <w:r w:rsidRPr="00E95815">
        <w:rPr>
          <w:rFonts w:ascii="Arial" w:hAnsi="Arial" w:cs="Arial"/>
          <w:sz w:val="22"/>
          <w:szCs w:val="22"/>
          <w:lang w:val="en-GB"/>
        </w:rPr>
        <w:t>BluEarth</w:t>
      </w:r>
      <w:proofErr w:type="spellEnd"/>
      <w:r w:rsidRPr="00E95815">
        <w:rPr>
          <w:rFonts w:ascii="Arial" w:hAnsi="Arial" w:cs="Arial"/>
          <w:sz w:val="22"/>
          <w:szCs w:val="22"/>
          <w:lang w:val="en-GB"/>
        </w:rPr>
        <w:t xml:space="preserve"> global t</w:t>
      </w:r>
      <w:r>
        <w:rPr>
          <w:rFonts w:ascii="Arial" w:hAnsi="Arial" w:cs="Arial"/>
          <w:sz w:val="22"/>
          <w:szCs w:val="22"/>
          <w:lang w:val="en-GB"/>
        </w:rPr>
        <w:t>y</w:t>
      </w:r>
      <w:r w:rsidRPr="00E95815">
        <w:rPr>
          <w:rFonts w:ascii="Arial" w:hAnsi="Arial" w:cs="Arial"/>
          <w:sz w:val="22"/>
          <w:szCs w:val="22"/>
          <w:lang w:val="en-GB"/>
        </w:rPr>
        <w:t>re brand. The t</w:t>
      </w:r>
      <w:r>
        <w:rPr>
          <w:rFonts w:ascii="Arial" w:hAnsi="Arial" w:cs="Arial"/>
          <w:sz w:val="22"/>
          <w:szCs w:val="22"/>
          <w:lang w:val="en-GB"/>
        </w:rPr>
        <w:t>y</w:t>
      </w:r>
      <w:r w:rsidRPr="00E95815">
        <w:rPr>
          <w:rFonts w:ascii="Arial" w:hAnsi="Arial" w:cs="Arial"/>
          <w:sz w:val="22"/>
          <w:szCs w:val="22"/>
          <w:lang w:val="en-GB"/>
        </w:rPr>
        <w:t>res’ superior driving, comfort and environmental performance makes them outstanding grand touring t</w:t>
      </w:r>
      <w:r>
        <w:rPr>
          <w:rFonts w:ascii="Arial" w:hAnsi="Arial" w:cs="Arial"/>
          <w:sz w:val="22"/>
          <w:szCs w:val="22"/>
          <w:lang w:val="en-GB"/>
        </w:rPr>
        <w:t>y</w:t>
      </w:r>
      <w:r w:rsidRPr="00E95815">
        <w:rPr>
          <w:rFonts w:ascii="Arial" w:hAnsi="Arial" w:cs="Arial"/>
          <w:sz w:val="22"/>
          <w:szCs w:val="22"/>
          <w:lang w:val="en-GB"/>
        </w:rPr>
        <w:t>res. Y</w:t>
      </w:r>
      <w:r>
        <w:rPr>
          <w:rFonts w:ascii="Arial" w:hAnsi="Arial" w:cs="Arial"/>
          <w:sz w:val="22"/>
          <w:szCs w:val="22"/>
          <w:lang w:val="en-GB"/>
        </w:rPr>
        <w:t>OKOHAMA</w:t>
      </w:r>
      <w:r w:rsidRPr="00E95815">
        <w:rPr>
          <w:rFonts w:ascii="Arial" w:hAnsi="Arial" w:cs="Arial"/>
          <w:sz w:val="22"/>
          <w:szCs w:val="22"/>
          <w:lang w:val="en-GB"/>
        </w:rPr>
        <w:t xml:space="preserve"> is aggressively developing t</w:t>
      </w:r>
      <w:r>
        <w:rPr>
          <w:rFonts w:ascii="Arial" w:hAnsi="Arial" w:cs="Arial"/>
          <w:sz w:val="22"/>
          <w:szCs w:val="22"/>
          <w:lang w:val="en-GB"/>
        </w:rPr>
        <w:t>y</w:t>
      </w:r>
      <w:r w:rsidRPr="00E95815">
        <w:rPr>
          <w:rFonts w:ascii="Arial" w:hAnsi="Arial" w:cs="Arial"/>
          <w:sz w:val="22"/>
          <w:szCs w:val="22"/>
          <w:lang w:val="en-GB"/>
        </w:rPr>
        <w:t>res employing its leading-edge “</w:t>
      </w:r>
      <w:proofErr w:type="spellStart"/>
      <w:r w:rsidRPr="00E95815">
        <w:rPr>
          <w:rFonts w:ascii="Arial" w:hAnsi="Arial" w:cs="Arial"/>
          <w:sz w:val="22"/>
          <w:szCs w:val="22"/>
          <w:lang w:val="en-GB"/>
        </w:rPr>
        <w:t>BluEarth</w:t>
      </w:r>
      <w:proofErr w:type="spellEnd"/>
      <w:r w:rsidRPr="00E95815">
        <w:rPr>
          <w:rFonts w:ascii="Arial" w:hAnsi="Arial" w:cs="Arial"/>
          <w:sz w:val="22"/>
          <w:szCs w:val="22"/>
          <w:lang w:val="en-GB"/>
        </w:rPr>
        <w:t>” t</w:t>
      </w:r>
      <w:r>
        <w:rPr>
          <w:rFonts w:ascii="Arial" w:hAnsi="Arial" w:cs="Arial"/>
          <w:sz w:val="22"/>
          <w:szCs w:val="22"/>
          <w:lang w:val="en-GB"/>
        </w:rPr>
        <w:t>y</w:t>
      </w:r>
      <w:r w:rsidRPr="00E95815">
        <w:rPr>
          <w:rFonts w:ascii="Arial" w:hAnsi="Arial" w:cs="Arial"/>
          <w:sz w:val="22"/>
          <w:szCs w:val="22"/>
          <w:lang w:val="en-GB"/>
        </w:rPr>
        <w:t>re technology, and many of these t</w:t>
      </w:r>
      <w:r>
        <w:rPr>
          <w:rFonts w:ascii="Arial" w:hAnsi="Arial" w:cs="Arial"/>
          <w:sz w:val="22"/>
          <w:szCs w:val="22"/>
          <w:lang w:val="en-GB"/>
        </w:rPr>
        <w:t>y</w:t>
      </w:r>
      <w:r w:rsidRPr="00E95815">
        <w:rPr>
          <w:rFonts w:ascii="Arial" w:hAnsi="Arial" w:cs="Arial"/>
          <w:sz w:val="22"/>
          <w:szCs w:val="22"/>
          <w:lang w:val="en-GB"/>
        </w:rPr>
        <w:t>res are now coming factory-equipped on a wide variety of new c</w:t>
      </w:r>
      <w:bookmarkStart w:id="0" w:name="_GoBack"/>
      <w:bookmarkEnd w:id="0"/>
      <w:r w:rsidRPr="00E95815">
        <w:rPr>
          <w:rFonts w:ascii="Arial" w:hAnsi="Arial" w:cs="Arial"/>
          <w:sz w:val="22"/>
          <w:szCs w:val="22"/>
          <w:lang w:val="en-GB"/>
        </w:rPr>
        <w:t xml:space="preserve">ar models, including the latest-model sedans, SUVs, sports cars, and compact cars. </w:t>
      </w:r>
      <w:r w:rsidRPr="00E95815">
        <w:rPr>
          <w:rFonts w:ascii="Arial" w:hAnsi="Arial" w:cs="Arial"/>
          <w:sz w:val="22"/>
          <w:szCs w:val="22"/>
          <w:lang w:val="en-GB"/>
        </w:rPr>
        <w:br/>
      </w:r>
      <w:r w:rsidRPr="00E95815">
        <w:rPr>
          <w:rFonts w:ascii="Arial" w:hAnsi="Arial" w:cs="Arial"/>
          <w:sz w:val="22"/>
          <w:szCs w:val="22"/>
          <w:lang w:val="en-GB"/>
        </w:rPr>
        <w:br/>
        <w:t>The MAZDA3 is a strategic global model that delivers Mazda’s “Joy of Driving” to customers around the world. With over six million cumulative units produced, the MAZDA3 has become the main vehicle manufactured at Mazda’s major plants around the world and has been the driving force in enhancing Mazda’s brand name and business performance. Based on a design concept centred on the driver, the new MAZDA3 dramatically enhances basic vehicle performance, making the vehicle’s every movement</w:t>
      </w:r>
      <w:r>
        <w:rPr>
          <w:rFonts w:ascii="Arial" w:hAnsi="Arial" w:cs="Arial"/>
          <w:sz w:val="22"/>
          <w:szCs w:val="22"/>
          <w:lang w:val="en-GB"/>
        </w:rPr>
        <w:t xml:space="preserve"> – </w:t>
      </w:r>
      <w:r w:rsidRPr="00E95815">
        <w:rPr>
          <w:rFonts w:ascii="Arial" w:hAnsi="Arial" w:cs="Arial"/>
          <w:sz w:val="22"/>
          <w:szCs w:val="22"/>
          <w:lang w:val="en-GB"/>
        </w:rPr>
        <w:t>from rolling, turning and stopping</w:t>
      </w:r>
      <w:r>
        <w:rPr>
          <w:rFonts w:ascii="Arial" w:hAnsi="Arial" w:cs="Arial"/>
          <w:sz w:val="22"/>
          <w:szCs w:val="22"/>
          <w:lang w:val="en-GB"/>
        </w:rPr>
        <w:t xml:space="preserve"> – </w:t>
      </w:r>
      <w:r w:rsidRPr="00E95815">
        <w:rPr>
          <w:rFonts w:ascii="Arial" w:hAnsi="Arial" w:cs="Arial"/>
          <w:sz w:val="22"/>
          <w:szCs w:val="22"/>
          <w:lang w:val="en-GB"/>
        </w:rPr>
        <w:t>feel like second nature to the driver.</w:t>
      </w:r>
    </w:p>
    <w:p w:rsidR="009D157C" w:rsidRDefault="009D157C" w:rsidP="00E95815">
      <w:pPr>
        <w:rPr>
          <w:rFonts w:ascii="Arial" w:hAnsi="Arial" w:cs="Arial"/>
          <w:sz w:val="22"/>
          <w:szCs w:val="22"/>
          <w:lang w:val="en-GB"/>
        </w:rPr>
      </w:pPr>
    </w:p>
    <w:p w:rsidR="009D157C" w:rsidRDefault="009D157C" w:rsidP="009D157C">
      <w:pPr>
        <w:jc w:val="center"/>
        <w:rPr>
          <w:rFonts w:ascii="Arial" w:hAnsi="Arial" w:cs="Arial"/>
          <w:sz w:val="22"/>
          <w:szCs w:val="22"/>
          <w:lang w:val="en-GB"/>
        </w:rPr>
      </w:pPr>
      <w:r>
        <w:rPr>
          <w:noProof/>
        </w:rPr>
        <w:drawing>
          <wp:inline distT="0" distB="0" distL="0" distR="0" wp14:anchorId="12128D6E" wp14:editId="61D10D35">
            <wp:extent cx="2971800" cy="44550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6604" cy="4462280"/>
                    </a:xfrm>
                    <a:prstGeom prst="rect">
                      <a:avLst/>
                    </a:prstGeom>
                  </pic:spPr>
                </pic:pic>
              </a:graphicData>
            </a:graphic>
          </wp:inline>
        </w:drawing>
      </w:r>
    </w:p>
    <w:p w:rsidR="009D157C" w:rsidRDefault="009D157C" w:rsidP="009D157C">
      <w:pPr>
        <w:jc w:val="center"/>
        <w:rPr>
          <w:rFonts w:ascii="Arial" w:hAnsi="Arial" w:cs="Arial"/>
          <w:i/>
          <w:sz w:val="16"/>
          <w:szCs w:val="16"/>
          <w:lang w:val="en-GB"/>
        </w:rPr>
      </w:pPr>
      <w:r w:rsidRPr="009D157C">
        <w:rPr>
          <w:rFonts w:ascii="Arial" w:hAnsi="Arial" w:cs="Arial"/>
          <w:i/>
          <w:sz w:val="16"/>
          <w:szCs w:val="16"/>
          <w:lang w:val="en-GB"/>
        </w:rPr>
        <w:t>“</w:t>
      </w:r>
      <w:proofErr w:type="spellStart"/>
      <w:r w:rsidRPr="009D157C">
        <w:rPr>
          <w:rFonts w:ascii="Arial" w:hAnsi="Arial" w:cs="Arial"/>
          <w:i/>
          <w:sz w:val="16"/>
          <w:szCs w:val="16"/>
          <w:lang w:val="en-GB"/>
        </w:rPr>
        <w:t>BluEarth</w:t>
      </w:r>
      <w:proofErr w:type="spellEnd"/>
      <w:r w:rsidRPr="009D157C">
        <w:rPr>
          <w:rFonts w:ascii="Arial" w:hAnsi="Arial" w:cs="Arial"/>
          <w:i/>
          <w:sz w:val="16"/>
          <w:szCs w:val="16"/>
          <w:lang w:val="en-GB"/>
        </w:rPr>
        <w:t>-GT AE51”</w:t>
      </w:r>
    </w:p>
    <w:p w:rsidR="009D157C" w:rsidRDefault="009D157C" w:rsidP="009D157C">
      <w:pPr>
        <w:jc w:val="center"/>
        <w:rPr>
          <w:rFonts w:ascii="Arial" w:hAnsi="Arial" w:cs="Arial"/>
          <w:i/>
          <w:sz w:val="16"/>
          <w:szCs w:val="16"/>
          <w:lang w:val="en-GB"/>
        </w:rPr>
      </w:pPr>
    </w:p>
    <w:p w:rsidR="009D157C" w:rsidRDefault="009D157C" w:rsidP="009D157C">
      <w:pPr>
        <w:jc w:val="center"/>
        <w:rPr>
          <w:rFonts w:ascii="Arial" w:hAnsi="Arial" w:cs="Arial"/>
          <w:i/>
          <w:sz w:val="16"/>
          <w:szCs w:val="16"/>
          <w:lang w:val="en-GB"/>
        </w:rPr>
      </w:pPr>
    </w:p>
    <w:p w:rsidR="009D157C" w:rsidRDefault="009D157C" w:rsidP="009D157C">
      <w:pPr>
        <w:jc w:val="center"/>
        <w:rPr>
          <w:rFonts w:ascii="Arial" w:hAnsi="Arial" w:cs="Arial"/>
          <w:i/>
          <w:sz w:val="16"/>
          <w:szCs w:val="16"/>
          <w:lang w:val="en-GB"/>
        </w:rPr>
      </w:pPr>
    </w:p>
    <w:p w:rsidR="009D157C" w:rsidRDefault="009D157C" w:rsidP="009D157C">
      <w:pPr>
        <w:jc w:val="center"/>
        <w:rPr>
          <w:rFonts w:ascii="Arial" w:hAnsi="Arial" w:cs="Arial"/>
          <w:i/>
          <w:sz w:val="16"/>
          <w:szCs w:val="16"/>
          <w:lang w:val="en-GB"/>
        </w:rPr>
      </w:pPr>
    </w:p>
    <w:p w:rsidR="009D157C" w:rsidRDefault="009D157C" w:rsidP="009D157C">
      <w:pPr>
        <w:jc w:val="center"/>
        <w:rPr>
          <w:rFonts w:ascii="Arial" w:hAnsi="Arial" w:cs="Arial"/>
          <w:i/>
          <w:sz w:val="16"/>
          <w:szCs w:val="16"/>
          <w:lang w:val="en-GB"/>
        </w:rPr>
      </w:pPr>
    </w:p>
    <w:p w:rsidR="009D157C" w:rsidRDefault="009D157C" w:rsidP="009D157C">
      <w:pPr>
        <w:jc w:val="center"/>
        <w:rPr>
          <w:rFonts w:ascii="Arial" w:hAnsi="Arial" w:cs="Arial"/>
          <w:i/>
          <w:sz w:val="16"/>
          <w:szCs w:val="16"/>
          <w:lang w:val="en-GB"/>
        </w:rPr>
      </w:pPr>
    </w:p>
    <w:p w:rsidR="009D157C" w:rsidRDefault="009D157C" w:rsidP="009D157C">
      <w:pPr>
        <w:jc w:val="center"/>
        <w:rPr>
          <w:rFonts w:ascii="Arial" w:hAnsi="Arial" w:cs="Arial"/>
          <w:i/>
          <w:sz w:val="16"/>
          <w:szCs w:val="16"/>
          <w:lang w:val="en-GB"/>
        </w:rPr>
      </w:pPr>
      <w:r>
        <w:rPr>
          <w:noProof/>
        </w:rPr>
        <w:drawing>
          <wp:inline distT="0" distB="0" distL="0" distR="0" wp14:anchorId="415CB203" wp14:editId="1B6E7854">
            <wp:extent cx="5246370" cy="32527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0011" cy="3261208"/>
                    </a:xfrm>
                    <a:prstGeom prst="rect">
                      <a:avLst/>
                    </a:prstGeom>
                  </pic:spPr>
                </pic:pic>
              </a:graphicData>
            </a:graphic>
          </wp:inline>
        </w:drawing>
      </w:r>
    </w:p>
    <w:p w:rsidR="00E95815" w:rsidRPr="009D157C" w:rsidRDefault="009D157C" w:rsidP="009D157C">
      <w:pPr>
        <w:jc w:val="center"/>
        <w:rPr>
          <w:rFonts w:ascii="Arial" w:hAnsi="Arial" w:cs="Arial"/>
          <w:i/>
          <w:sz w:val="16"/>
          <w:szCs w:val="16"/>
          <w:lang w:val="en-GB"/>
        </w:rPr>
      </w:pPr>
      <w:r w:rsidRPr="009D157C">
        <w:rPr>
          <w:rFonts w:ascii="Arial" w:hAnsi="Arial" w:cs="Arial"/>
          <w:i/>
          <w:sz w:val="16"/>
          <w:szCs w:val="16"/>
          <w:lang w:val="en-GB"/>
        </w:rPr>
        <w:t>New MAZDA3</w:t>
      </w:r>
      <w:r w:rsidR="00736BAC">
        <w:rPr>
          <w:rFonts w:ascii="Arial" w:hAnsi="Arial" w:cs="Arial"/>
          <w:i/>
          <w:sz w:val="16"/>
          <w:szCs w:val="16"/>
          <w:lang w:val="en-GB"/>
        </w:rPr>
        <w:t>.</w:t>
      </w:r>
      <w:r w:rsidRPr="009D157C">
        <w:rPr>
          <w:rFonts w:ascii="Arial" w:hAnsi="Arial" w:cs="Arial"/>
          <w:i/>
          <w:sz w:val="16"/>
          <w:szCs w:val="16"/>
          <w:lang w:val="en-GB"/>
        </w:rPr>
        <w:t xml:space="preserve"> This photo is used with the permission of Mazda Motor Corporation. Reprint or other usage of this image without prior permission from Mazda Motor is strictly prohibited.</w:t>
      </w:r>
    </w:p>
    <w:p w:rsidR="00E95815" w:rsidRPr="00E95815" w:rsidRDefault="00E95815" w:rsidP="00E95815">
      <w:pPr>
        <w:rPr>
          <w:rFonts w:ascii="Arial" w:hAnsi="Arial" w:cs="Arial"/>
          <w:i/>
          <w:sz w:val="22"/>
          <w:szCs w:val="22"/>
          <w:lang w:val="en-GB"/>
        </w:rPr>
      </w:pPr>
    </w:p>
    <w:sectPr w:rsidR="00E95815" w:rsidRPr="00E95815"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736BAC"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36BA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6BAC"/>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D157C"/>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95815"/>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8AEF9DB"/>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1490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2019-05-29T09:16:00Z</dcterms:created>
  <dcterms:modified xsi:type="dcterms:W3CDTF">2019-05-29T09:26:00Z</dcterms:modified>
</cp:coreProperties>
</file>